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800"/>
      </w:pPr>
    </w:p>
    <w:p>
      <w:pPr>
        <w:jc w:val="center"/>
      </w:pPr>
      <w:r>
        <w:rPr>
          <w:rFonts w:ascii="Cambria" w:cs="Cambria" w:eastAsia="Cambria" w:hAnsi="Cambria"/>
          <w:b/>
          <w:bCs/>
          <w:color w:val="0F6E56"/>
          <w:spacing w:val="40"/>
          <w:sz w:val="24"/>
          <w:szCs w:val="24"/>
        </w:rPr>
        <w:t xml:space="preserve">LEGAXI</w:t>
      </w:r>
    </w:p>
    <w:p>
      <w:pPr>
        <w:spacing w:after="100" w:before="200"/>
        <w:jc w:val="center"/>
      </w:pPr>
      <w:r>
        <w:rPr>
          <w:rFonts w:ascii="Cambria" w:cs="Cambria" w:eastAsia="Cambria" w:hAnsi="Cambria"/>
          <w:color w:val="2C2C2A"/>
          <w:sz w:val="56"/>
          <w:szCs w:val="56"/>
        </w:rPr>
        <w:t xml:space="preserve">Executor Organizer</w:t>
      </w:r>
    </w:p>
    <w:p>
      <w:pPr>
        <w:spacing w:after="800"/>
        <w:jc w:val="center"/>
      </w:pPr>
      <w:r>
        <w:rPr>
          <w:rFonts w:ascii="Cambria" w:cs="Cambria" w:eastAsia="Cambria" w:hAnsi="Cambria"/>
          <w:i/>
          <w:iCs/>
          <w:color w:val="5F5E5A"/>
          <w:sz w:val="22"/>
          <w:szCs w:val="22"/>
        </w:rPr>
        <w:t xml:space="preserve">A checklist, action log, and document tracker for settling an estate</w:t>
      </w:r>
    </w:p>
    <w:p>
      <w:pPr>
        <w:spacing w:after="150"/>
        <w:jc w:val="center"/>
      </w:pPr>
      <w:r>
        <w:rPr>
          <w:rFonts w:ascii="Calibri" w:cs="Calibri" w:eastAsia="Calibri" w:hAnsi="Calibri"/>
          <w:color w:val="2C2C2A"/>
          <w:sz w:val="22"/>
          <w:szCs w:val="22"/>
        </w:rPr>
        <w:t xml:space="preserve">Estate of:  ________________________________________</w:t>
      </w:r>
    </w:p>
    <w:p>
      <w:pPr>
        <w:spacing w:after="150"/>
        <w:jc w:val="center"/>
      </w:pPr>
      <w:r>
        <w:rPr>
          <w:rFonts w:ascii="Calibri" w:cs="Calibri" w:eastAsia="Calibri" w:hAnsi="Calibri"/>
          <w:color w:val="2C2C2A"/>
          <w:sz w:val="22"/>
          <w:szCs w:val="22"/>
        </w:rPr>
        <w:t xml:space="preserve">Executor:  ________________________________________</w:t>
      </w:r>
    </w:p>
    <w:p>
      <w:pPr>
        <w:spacing w:after="800"/>
        <w:jc w:val="center"/>
      </w:pPr>
      <w:r>
        <w:rPr>
          <w:rFonts w:ascii="Calibri" w:cs="Calibri" w:eastAsia="Calibri" w:hAnsi="Calibri"/>
          <w:color w:val="2C2C2A"/>
          <w:sz w:val="22"/>
          <w:szCs w:val="22"/>
        </w:rPr>
        <w:t xml:space="preserve">Date Started:  ________________________________________</w:t>
      </w:r>
    </w:p>
    <w:p>
      <w:pPr>
        <w:spacing w:before="1000"/>
        <w:jc w:val="center"/>
      </w:pPr>
      <w:r>
        <w:rPr>
          <w:rFonts w:ascii="Calibri" w:cs="Calibri" w:eastAsia="Calibri" w:hAnsi="Calibri"/>
          <w:i/>
          <w:iCs/>
          <w:color w:val="5F5E5A"/>
          <w:sz w:val="16"/>
          <w:szCs w:val="16"/>
        </w:rPr>
        <w:t xml:space="preserve">This organizer is for general informational purposes and is not legal, financial, or tax advice. Requirements, deadlines, and procedures vary significantly by state — confirm specifics with an estate attorney or CPA before acting on anything time-sensitive or financially significant.</w:t>
      </w:r>
    </w:p>
    <w:p>
      <w:r>
        <w:br w:type="page"/>
      </w:r>
    </w:p>
    <w:p>
      <w:pPr>
        <w:pStyle w:val="Heading1"/>
        <w:spacing w:after="200" w:before="200"/>
      </w:pPr>
      <w:r>
        <w:rPr>
          <w:rFonts w:ascii="Cambria" w:cs="Cambria" w:eastAsia="Cambria" w:hAnsi="Cambria"/>
          <w:b/>
          <w:bCs/>
          <w:color w:val="0F6E56"/>
          <w:sz w:val="30"/>
          <w:szCs w:val="30"/>
        </w:rPr>
        <w:t xml:space="preserve">Executor Checklist</w:t>
      </w:r>
    </w:p>
    <w:p>
      <w:pPr>
        <w:spacing w:after="250"/>
      </w:pPr>
      <w:r>
        <w:rPr>
          <w:rFonts w:ascii="Calibri" w:cs="Calibri" w:eastAsia="Calibri" w:hAnsi="Calibri"/>
          <w:i/>
          <w:iCs/>
          <w:color w:val="5F5E5A"/>
          <w:sz w:val="19"/>
          <w:szCs w:val="19"/>
        </w:rPr>
        <w:t xml:space="preserve">Organized by roughly when each step tends to happen. Items marked ⚠ TIME-SENSITIVE are worth prioritizing — delaying them can cost the estate money or narrow your options.</w:t>
      </w:r>
    </w:p>
    <w:p>
      <w:pPr>
        <w:shd w:fill="E1F5EE" w:val="clear"/>
        <w:spacing w:after="150" w:before="300"/>
      </w:pPr>
      <w:r>
        <w:rPr>
          <w:rFonts w:ascii="Calibri" w:cs="Calibri" w:eastAsia="Calibri" w:hAnsi="Calibri"/>
          <w:b/>
          <w:bCs/>
          <w:color w:val="0F6E56"/>
          <w:sz w:val="20"/>
          <w:szCs w:val="20"/>
        </w:rPr>
        <w:t xml:space="preserve">  IMMEDIATE · 24–48 HOURS  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Obtain death certificates (get 10–15 copies)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From the funeral home, hospital, or county vital records office.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Notify immediate family and contacts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Closest relationships first.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Secure home and valuables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Change locks if needed; photograph rooms for the estate inventory.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Locate the will (and Legaxi Plan, if one exists)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Check a safe, the deceased’s home, or an attorney’s office.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Contact an estate attorney (optional)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Many offer a low-cost initial consultation.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Contact a CPA or tax professional (optional)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Worth doing early given the tax filings ahead.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Start an executor log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A running, dated record of actions and conversations — see Appendix A.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Create a physical file or binder for estate documents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See Appendix B for what to track.</w:t>
      </w:r>
    </w:p>
    <w:p>
      <w:pPr>
        <w:spacing w:after="10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Arrange care for pets and dependents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Notify their employer, if applicable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Ask about final paycheck, PTO payout, and benefits.</w:t>
      </w:r>
    </w:p>
    <w:p>
      <w:pPr>
        <w:shd w:fill="FAEEDA" w:val="clear"/>
        <w:spacing w:after="150" w:before="300"/>
      </w:pPr>
      <w:r>
        <w:rPr>
          <w:rFonts w:ascii="Calibri" w:cs="Calibri" w:eastAsia="Calibri" w:hAnsi="Calibri"/>
          <w:b/>
          <w:bCs/>
          <w:color w:val="92400E"/>
          <w:sz w:val="20"/>
          <w:szCs w:val="20"/>
        </w:rPr>
        <w:t xml:space="preserve">  FIRST WEEK  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Notify Social Security Administration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1-800-772-1213. Any payment received after death must be returned.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Contact life insurance companies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Have the policy number and a certified death certificate ready.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Notify bank and financial institutions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Bring death certificate and proof of executor authority.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Notify pension / retirement providers  ⚠ TIME-SENSITIVE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Overpayments are typically clawed back.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Notify Veterans Affairs, if a veteran  ⚠ TIME-SENSITIVE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va.gov or 1-800-827-1000. May open survivor benefits.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Notify their doctor(s)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Courtesy notification; no legal deadline.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Publish a short service announcement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Date, time, location — so people can attend.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Forward or hold mail at the post office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usps.com or a local branch.</w:t>
      </w:r>
    </w:p>
    <w:p>
      <w:pPr>
        <w:shd w:fill="EEF2FF" w:val="clear"/>
        <w:spacing w:after="150" w:before="300"/>
      </w:pPr>
      <w:r>
        <w:rPr>
          <w:rFonts w:ascii="Calibri" w:cs="Calibri" w:eastAsia="Calibri" w:hAnsi="Calibri"/>
          <w:b/>
          <w:bCs/>
          <w:color w:val="4338CA"/>
          <w:sz w:val="20"/>
          <w:szCs w:val="20"/>
        </w:rPr>
        <w:t xml:space="preserve">  FIRST MONTH  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File the will with probate court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Deadlines vary by state — commonly 10–90 days.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File for probate with the court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See your state’s official self-help resource.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File a Notice to Creditors, if used in your state  ⚠ TIME-SENSITIVE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Starts a legal clock on creditor claims.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Inventory all assets and debts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Use date-of-death values, not today’s value.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Cancel subscriptions and credit cards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Request the balance in writing from card issuers.</w:t>
      </w:r>
    </w:p>
    <w:p>
      <w:pPr>
        <w:spacing w:after="10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Transfer or close utility accounts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Handle digital accounts per their wishes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See Legaxi Plan Appendix H for passwords, if applicable.</w:t>
      </w:r>
    </w:p>
    <w:p>
      <w:pPr>
        <w:spacing w:after="10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Notify DMV — transfer vehicle titles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Begin gathering documents for the final income tax return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Not due until April 15 of the following year.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Write and publish a fuller obituary, when ready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No rush — this can wait.</w:t>
      </w:r>
    </w:p>
    <w:p>
      <w:pPr>
        <w:shd w:fill="FEF2F2" w:val="clear"/>
        <w:spacing w:after="150" w:before="300"/>
      </w:pPr>
      <w:r>
        <w:rPr>
          <w:rFonts w:ascii="Calibri" w:cs="Calibri" w:eastAsia="Calibri" w:hAnsi="Calibri"/>
          <w:b/>
          <w:bCs/>
          <w:color w:val="B91C1C"/>
          <w:sz w:val="20"/>
          <w:szCs w:val="20"/>
        </w:rPr>
        <w:t xml:space="preserve">  MONTH 2+  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Obtain Letters Testamentary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Proves your legal authority to act for the estate.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Open an estate bank account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Requires an Estate EIN — apply free at irs.gov, or 1-800-829-4933.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Determine if the estate needs its own income tax return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Separate from the personal return — Form 1041, if required.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Determine whether estate tax applies (state and/or federal)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Ask a CPA — most estates owe none, but check anyway.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Pay outstanding debts and taxes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Confirm the priority order for your state first — don’t guess.</w:t>
      </w:r>
    </w:p>
    <w:p>
      <w:pPr>
        <w:spacing w:after="10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Transfer real estate titles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Distribute assets to beneficiaries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Only after debts, taxes, and costs are settled.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Close the estate with the court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Most estates take 6–12 months to fully settle.</w:t>
      </w:r>
    </w:p>
    <w:p>
      <w:pPr>
        <w:shd w:fill="F3E8FF" w:val="clear"/>
        <w:spacing w:after="150" w:before="300"/>
      </w:pPr>
      <w:r>
        <w:rPr>
          <w:rFonts w:ascii="Calibri" w:cs="Calibri" w:eastAsia="Calibri" w:hAnsi="Calibri"/>
          <w:b/>
          <w:bCs/>
          <w:color w:val="7C3AED"/>
          <w:sz w:val="20"/>
          <w:szCs w:val="20"/>
        </w:rPr>
        <w:t xml:space="preserve">  PERSONAL &amp; MEMORIAL (AS NEEDED)  </w:t>
      </w:r>
    </w:p>
    <w:p>
      <w:pPr>
        <w:spacing w:after="10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Notify clergy or religious leader</w:t>
      </w:r>
    </w:p>
    <w:p>
      <w:pPr>
        <w:spacing w:after="10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Notify therapist/counselor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Arrange body disposition (burial/cremation)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Confirm who legally has this authority — it may not be the executor.</w:t>
      </w:r>
    </w:p>
    <w:p>
      <w:pPr>
        <w:spacing w:after="20"/>
      </w:pPr>
      <w:r>
        <w:rPr>
          <w:rFonts w:ascii="Calibri" w:cs="Calibri" w:eastAsia="Calibri" w:hAnsi="Calibri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C2C2A"/>
          <w:sz w:val="21"/>
          <w:szCs w:val="21"/>
        </w:rPr>
        <w:t xml:space="preserve">Communicate organ donation wishes</w:t>
      </w:r>
    </w:p>
    <w:p>
      <w:pPr>
        <w:spacing w:after="130"/>
        <w:ind w:left="340"/>
      </w:pPr>
      <w:r>
        <w:rPr>
          <w:rFonts w:ascii="Calibri" w:cs="Calibri" w:eastAsia="Calibri" w:hAnsi="Calibri"/>
          <w:i/>
          <w:iCs/>
          <w:color w:val="5F5E5A"/>
          <w:sz w:val="17"/>
          <w:szCs w:val="17"/>
        </w:rPr>
        <w:t xml:space="preserve">Time-critical; usually handled by hospital/hospice staff.</w:t>
      </w:r>
    </w:p>
    <w:p>
      <w:r>
        <w:br w:type="page"/>
      </w:r>
    </w:p>
    <w:p>
      <w:pPr>
        <w:pStyle w:val="Heading1"/>
        <w:spacing w:after="200" w:before="200"/>
      </w:pPr>
      <w:r>
        <w:rPr>
          <w:rFonts w:ascii="Cambria" w:cs="Cambria" w:eastAsia="Cambria" w:hAnsi="Cambria"/>
          <w:b/>
          <w:bCs/>
          <w:color w:val="0F6E56"/>
          <w:sz w:val="30"/>
          <w:szCs w:val="30"/>
        </w:rPr>
        <w:t xml:space="preserve">Appendix A — Executor Action Log</w:t>
      </w:r>
    </w:p>
    <w:p>
      <w:pPr>
        <w:spacing w:after="250"/>
      </w:pPr>
      <w:r>
        <w:rPr>
          <w:rFonts w:ascii="Calibri" w:cs="Calibri" w:eastAsia="Calibri" w:hAnsi="Calibri"/>
          <w:i/>
          <w:iCs/>
          <w:color w:val="5F5E5A"/>
          <w:sz w:val="19"/>
          <w:szCs w:val="19"/>
        </w:rPr>
        <w:t xml:space="preserve">A dated record of what you did and why. This protects you if any decision is ever questioned later, and keeps you from losing track of where things stand.</w:t>
      </w:r>
    </w:p>
    <w:tbl>
      <w:tblPr>
        <w:tblW w:type="dxa" w:w="9940"/>
        <w:tblBorders>
          <w:top w:val="single" w:color="D3D1C7" w:sz="4"/>
          <w:left w:val="single" w:color="D3D1C7" w:sz="4"/>
          <w:bottom w:val="single" w:color="D3D1C7" w:sz="4"/>
          <w:right w:val="single" w:color="D3D1C7" w:sz="4"/>
          <w:insideH w:val="single" w:color="E8E5DC" w:sz="2"/>
          <w:insideV w:val="single" w:color="E8E5DC" w:sz="2"/>
        </w:tblBorders>
      </w:tblPr>
      <w:tblGrid>
        <w:gridCol w:w="1600"/>
        <w:gridCol w:w="5200"/>
        <w:gridCol w:w="3140"/>
      </w:tblGrid>
      <w:tr>
        <w:trPr>
          <w:tblHeader/>
        </w:trPr>
        <w:tc>
          <w:tcPr>
            <w:tcW w:type="dxa" w:w="16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Date</w:t>
            </w:r>
          </w:p>
        </w:tc>
        <w:tc>
          <w:tcPr>
            <w:tcW w:type="dxa" w:w="52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Action Taken / Conversation</w:t>
            </w:r>
          </w:p>
        </w:tc>
        <w:tc>
          <w:tcPr>
            <w:tcW w:type="dxa" w:w="314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Notes</w:t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200" w:before="200"/>
      </w:pPr>
      <w:r>
        <w:rPr>
          <w:rFonts w:ascii="Cambria" w:cs="Cambria" w:eastAsia="Cambria" w:hAnsi="Cambria"/>
          <w:b/>
          <w:bCs/>
          <w:color w:val="0F6E56"/>
          <w:sz w:val="30"/>
          <w:szCs w:val="30"/>
        </w:rPr>
        <w:t xml:space="preserve">Appendix B — Document Tracker</w:t>
      </w:r>
    </w:p>
    <w:p>
      <w:pPr>
        <w:spacing w:after="250"/>
      </w:pPr>
      <w:r>
        <w:rPr>
          <w:rFonts w:ascii="Calibri" w:cs="Calibri" w:eastAsia="Calibri" w:hAnsi="Calibri"/>
          <w:i/>
          <w:iCs/>
          <w:color w:val="5F5E5A"/>
          <w:sz w:val="19"/>
          <w:szCs w:val="19"/>
        </w:rPr>
        <w:t xml:space="preserve">Track where each document lives (physical file, digital folder, or both) as you collect them.</w:t>
      </w:r>
    </w:p>
    <w:tbl>
      <w:tblPr>
        <w:tblW w:type="dxa" w:w="9940"/>
        <w:tblBorders>
          <w:top w:val="single" w:color="D3D1C7" w:sz="4"/>
          <w:left w:val="single" w:color="D3D1C7" w:sz="4"/>
          <w:bottom w:val="single" w:color="D3D1C7" w:sz="4"/>
          <w:right w:val="single" w:color="D3D1C7" w:sz="4"/>
          <w:insideH w:val="single" w:color="E8E5DC" w:sz="2"/>
          <w:insideV w:val="single" w:color="E8E5DC" w:sz="2"/>
        </w:tblBorders>
      </w:tblPr>
      <w:tblGrid>
        <w:gridCol w:w="3200"/>
        <w:gridCol w:w="2900"/>
        <w:gridCol w:w="1600"/>
        <w:gridCol w:w="2240"/>
      </w:tblGrid>
      <w:tr>
        <w:trPr>
          <w:tblHeader/>
        </w:trPr>
        <w:tc>
          <w:tcPr>
            <w:tcW w:type="dxa" w:w="32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Document Type</w:t>
            </w:r>
          </w:p>
        </w:tc>
        <w:tc>
          <w:tcPr>
            <w:tcW w:type="dxa" w:w="29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Location</w:t>
            </w:r>
          </w:p>
        </w:tc>
        <w:tc>
          <w:tcPr>
            <w:tcW w:type="dxa" w:w="16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Obtained?</w:t>
            </w:r>
          </w:p>
        </w:tc>
        <w:tc>
          <w:tcPr>
            <w:tcW w:type="dxa" w:w="224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Notes</w:t>
            </w:r>
          </w:p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Death certificates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Will / Trust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Codicils / amendments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Bank statements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Investment / brokerage statements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Retirement account statements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Real estate records / deeds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Insurance policies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Tax returns (personal)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Bills / debts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Receipts (estate expenses)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Executor expense log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Correspondence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Asset valuations / appraisals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rPr>
          <w:trHeight w:val="420" w:hRule="atLeast"/>
        </w:trP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C2C2A"/>
                <w:sz w:val="18"/>
                <w:szCs w:val="18"/>
              </w:rPr>
              <w:t xml:space="preserve">Letters Testamentary (certified copies)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5F5E5A"/>
                <w:sz w:val="16"/>
                <w:szCs w:val="16"/>
              </w:rPr>
              <w:t xml:space="preserve">☐ Yes   ☐ No</w:t>
            </w:r>
          </w:p>
        </w:tc>
        <w:tc>
          <w:tcPr>
            <w:tcW w:type="dxa" w:w="224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</w:tbl>
    <w:p>
      <w:r>
        <w:br w:type="page"/>
      </w:r>
    </w:p>
    <w:p>
      <w:pPr>
        <w:pStyle w:val="Heading1"/>
        <w:spacing w:after="200" w:before="200"/>
      </w:pPr>
      <w:r>
        <w:rPr>
          <w:rFonts w:ascii="Cambria" w:cs="Cambria" w:eastAsia="Cambria" w:hAnsi="Cambria"/>
          <w:b/>
          <w:bCs/>
          <w:color w:val="0F6E56"/>
          <w:sz w:val="30"/>
          <w:szCs w:val="30"/>
        </w:rPr>
        <w:t xml:space="preserve">Appendix C — Key Contacts</w:t>
      </w:r>
    </w:p>
    <w:p>
      <w:pPr>
        <w:spacing w:after="250"/>
      </w:pPr>
      <w:r>
        <w:rPr>
          <w:rFonts w:ascii="Calibri" w:cs="Calibri" w:eastAsia="Calibri" w:hAnsi="Calibri"/>
          <w:i/>
          <w:iCs/>
          <w:color w:val="5F5E5A"/>
          <w:sz w:val="19"/>
          <w:szCs w:val="19"/>
        </w:rPr>
        <w:t xml:space="preserve">Attorneys, CPAs, banks, insurers, and anyone else you’re coordinating with.</w:t>
      </w:r>
    </w:p>
    <w:tbl>
      <w:tblPr>
        <w:tblW w:type="dxa" w:w="9940"/>
        <w:tblBorders>
          <w:top w:val="single" w:color="D3D1C7" w:sz="4"/>
          <w:left w:val="single" w:color="D3D1C7" w:sz="4"/>
          <w:bottom w:val="single" w:color="D3D1C7" w:sz="4"/>
          <w:right w:val="single" w:color="D3D1C7" w:sz="4"/>
          <w:insideH w:val="single" w:color="E8E5DC" w:sz="2"/>
          <w:insideV w:val="single" w:color="E8E5DC" w:sz="2"/>
        </w:tblBorders>
      </w:tblPr>
      <w:tblGrid>
        <w:gridCol w:w="2000"/>
        <w:gridCol w:w="1900"/>
        <w:gridCol w:w="1700"/>
        <w:gridCol w:w="2200"/>
        <w:gridCol w:w="2140"/>
      </w:tblGrid>
      <w:tr>
        <w:trPr>
          <w:tblHeader/>
        </w:trPr>
        <w:tc>
          <w:tcPr>
            <w:tcW w:type="dxa" w:w="20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Name</w:t>
            </w:r>
          </w:p>
        </w:tc>
        <w:tc>
          <w:tcPr>
            <w:tcW w:type="dxa" w:w="19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Role</w:t>
            </w:r>
          </w:p>
        </w:tc>
        <w:tc>
          <w:tcPr>
            <w:tcW w:type="dxa" w:w="17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Phone</w:t>
            </w:r>
          </w:p>
        </w:tc>
        <w:tc>
          <w:tcPr>
            <w:tcW w:type="dxa" w:w="22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Email</w:t>
            </w:r>
          </w:p>
        </w:tc>
        <w:tc>
          <w:tcPr>
            <w:tcW w:type="dxa" w:w="214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Notes</w:t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1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200" w:before="200"/>
      </w:pPr>
      <w:r>
        <w:rPr>
          <w:rFonts w:ascii="Cambria" w:cs="Cambria" w:eastAsia="Cambria" w:hAnsi="Cambria"/>
          <w:b/>
          <w:bCs/>
          <w:color w:val="0F6E56"/>
          <w:sz w:val="30"/>
          <w:szCs w:val="30"/>
        </w:rPr>
        <w:t xml:space="preserve">Appendix D — Creditor Claims Tracker</w:t>
      </w:r>
    </w:p>
    <w:p>
      <w:pPr>
        <w:spacing w:after="250"/>
      </w:pPr>
      <w:r>
        <w:rPr>
          <w:rFonts w:ascii="Calibri" w:cs="Calibri" w:eastAsia="Calibri" w:hAnsi="Calibri"/>
          <w:i/>
          <w:iCs/>
          <w:color w:val="5F5E5A"/>
          <w:sz w:val="19"/>
          <w:szCs w:val="19"/>
        </w:rPr>
        <w:t xml:space="preserve">If your state uses a Notice to Creditors process, log claims here as they come in. Do not pay any claim until you’ve confirmed your state’s priority order with an estate attorney.</w:t>
      </w:r>
    </w:p>
    <w:tbl>
      <w:tblPr>
        <w:tblW w:type="dxa" w:w="9940"/>
        <w:tblBorders>
          <w:top w:val="single" w:color="D3D1C7" w:sz="4"/>
          <w:left w:val="single" w:color="D3D1C7" w:sz="4"/>
          <w:bottom w:val="single" w:color="D3D1C7" w:sz="4"/>
          <w:right w:val="single" w:color="D3D1C7" w:sz="4"/>
          <w:insideH w:val="single" w:color="E8E5DC" w:sz="2"/>
          <w:insideV w:val="single" w:color="E8E5DC" w:sz="2"/>
        </w:tblBorders>
      </w:tblPr>
      <w:tblGrid>
        <w:gridCol w:w="2400"/>
        <w:gridCol w:w="1800"/>
        <w:gridCol w:w="1800"/>
        <w:gridCol w:w="1900"/>
        <w:gridCol w:w="2040"/>
      </w:tblGrid>
      <w:tr>
        <w:trPr>
          <w:tblHeader/>
        </w:trPr>
        <w:tc>
          <w:tcPr>
            <w:tcW w:type="dxa" w:w="24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Creditor</w:t>
            </w:r>
          </w:p>
        </w:tc>
        <w:tc>
          <w:tcPr>
            <w:tcW w:type="dxa" w:w="18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Amount Claimed</w:t>
            </w:r>
          </w:p>
        </w:tc>
        <w:tc>
          <w:tcPr>
            <w:tcW w:type="dxa" w:w="18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Date Received</w:t>
            </w:r>
          </w:p>
        </w:tc>
        <w:tc>
          <w:tcPr>
            <w:tcW w:type="dxa" w:w="190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Status</w:t>
            </w:r>
          </w:p>
        </w:tc>
        <w:tc>
          <w:tcPr>
            <w:tcW w:type="dxa" w:w="2040"/>
            <w:shd w:fill="F5F4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C2C2A"/>
                <w:sz w:val="18"/>
                <w:szCs w:val="18"/>
              </w:rPr>
              <w:t xml:space="preserve">Date Paid</w:t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0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sectPr>
      <w:pgSz w:w="12240" w:h="15840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2026-08-23T19:40:35.651Z</dcterms:created>
  <dcterms:modified xsi:type="dcterms:W3CDTF">2026-08-23T19:40:35.651Z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